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88" w:lineRule="auto"/>
        <w:jc w:val="center"/>
        <w:rPr>
          <w:b/>
          <w:sz w:val="28"/>
          <w:szCs w:val="30"/>
        </w:rPr>
      </w:pPr>
      <w:r>
        <w:rPr>
          <w:rFonts w:hint="eastAsia"/>
          <w:b/>
          <w:sz w:val="28"/>
          <w:szCs w:val="30"/>
        </w:rPr>
        <w:t>【大学物理实验（1）】</w:t>
      </w:r>
    </w:p>
    <w:p>
      <w:pPr>
        <w:spacing w:line="288" w:lineRule="auto"/>
        <w:jc w:val="center"/>
        <w:rPr>
          <w:b/>
          <w:sz w:val="30"/>
          <w:szCs w:val="30"/>
        </w:rPr>
      </w:pPr>
      <w:r>
        <w:rPr>
          <w:rFonts w:hint="eastAsia"/>
          <w:b/>
          <w:sz w:val="28"/>
          <w:szCs w:val="30"/>
        </w:rPr>
        <w:t>【Physics Experiment of University（1）】</w:t>
      </w:r>
    </w:p>
    <w:p>
      <w:pPr>
        <w:spacing w:beforeLines="50" w:afterLines="50" w:line="288" w:lineRule="auto"/>
        <w:ind w:firstLine="360" w:firstLineChars="150"/>
        <w:rPr>
          <w:b/>
          <w:sz w:val="30"/>
          <w:szCs w:val="30"/>
        </w:rPr>
      </w:pPr>
      <w:bookmarkStart w:id="0" w:name="a2"/>
      <w:bookmarkEnd w:id="0"/>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sz w:val="20"/>
          <w:szCs w:val="20"/>
        </w:rPr>
      </w:pPr>
      <w:r>
        <w:rPr>
          <w:b/>
          <w:bCs/>
          <w:sz w:val="20"/>
          <w:szCs w:val="20"/>
        </w:rPr>
        <w:t>课程代码：</w:t>
      </w:r>
      <w:r>
        <w:rPr>
          <w:sz w:val="20"/>
          <w:szCs w:val="20"/>
        </w:rPr>
        <w:t>【</w:t>
      </w:r>
      <w:r>
        <w:rPr>
          <w:rFonts w:hint="eastAsia"/>
          <w:sz w:val="20"/>
          <w:szCs w:val="20"/>
        </w:rPr>
        <w:t>2100037</w:t>
      </w:r>
      <w:r>
        <w:rPr>
          <w:sz w:val="20"/>
          <w:szCs w:val="20"/>
        </w:rPr>
        <w:t>】</w:t>
      </w:r>
    </w:p>
    <w:p>
      <w:pPr>
        <w:snapToGrid w:val="0"/>
        <w:spacing w:line="288" w:lineRule="auto"/>
        <w:ind w:firstLine="394" w:firstLineChars="196"/>
        <w:rPr>
          <w:szCs w:val="21"/>
        </w:rPr>
      </w:pPr>
      <w:r>
        <w:rPr>
          <w:b/>
          <w:bCs/>
          <w:sz w:val="20"/>
          <w:szCs w:val="20"/>
        </w:rPr>
        <w:t>课程学分：</w:t>
      </w:r>
      <w:r>
        <w:rPr>
          <w:sz w:val="20"/>
          <w:szCs w:val="20"/>
        </w:rPr>
        <w:t>【</w:t>
      </w:r>
      <w:r>
        <w:rPr>
          <w:rFonts w:hint="eastAsia"/>
          <w:sz w:val="20"/>
          <w:szCs w:val="20"/>
        </w:rPr>
        <w:t>1</w:t>
      </w:r>
      <w:r>
        <w:rPr>
          <w:sz w:val="20"/>
          <w:szCs w:val="20"/>
        </w:rPr>
        <w:t>】</w:t>
      </w:r>
    </w:p>
    <w:p>
      <w:pPr>
        <w:snapToGrid w:val="0"/>
        <w:spacing w:line="288" w:lineRule="auto"/>
        <w:ind w:firstLine="394" w:firstLineChars="196"/>
        <w:rPr>
          <w:szCs w:val="21"/>
        </w:rPr>
      </w:pPr>
      <w:r>
        <w:rPr>
          <w:b/>
          <w:bCs/>
          <w:sz w:val="20"/>
          <w:szCs w:val="20"/>
        </w:rPr>
        <w:t>面向专业：</w:t>
      </w:r>
      <w:r>
        <w:rPr>
          <w:sz w:val="20"/>
          <w:szCs w:val="20"/>
        </w:rPr>
        <w:t>【</w:t>
      </w:r>
      <w:r>
        <w:rPr>
          <w:rFonts w:hint="eastAsia" w:ascii="宋体" w:hAnsi="宋体"/>
          <w:sz w:val="20"/>
          <w:szCs w:val="20"/>
        </w:rPr>
        <w:t>微电子学、机械设计制造及其自动化、电子科学与技术、计算机科学与技术、数字媒体艺术、网络工程本科</w:t>
      </w:r>
      <w:r>
        <w:rPr>
          <w:sz w:val="20"/>
          <w:szCs w:val="20"/>
        </w:rPr>
        <w:t>】</w:t>
      </w:r>
    </w:p>
    <w:p>
      <w:pPr>
        <w:snapToGrid w:val="0"/>
        <w:spacing w:line="288" w:lineRule="auto"/>
        <w:ind w:firstLine="394" w:firstLineChars="196"/>
        <w:rPr>
          <w:sz w:val="20"/>
          <w:szCs w:val="20"/>
        </w:rPr>
      </w:pPr>
      <w:r>
        <w:rPr>
          <w:b/>
          <w:bCs/>
          <w:sz w:val="20"/>
          <w:szCs w:val="20"/>
        </w:rPr>
        <w:t>课程性质：</w:t>
      </w:r>
      <w:r>
        <w:rPr>
          <w:sz w:val="20"/>
          <w:szCs w:val="20"/>
        </w:rPr>
        <w:t>【</w:t>
      </w:r>
      <w:r>
        <w:rPr>
          <w:rFonts w:hint="eastAsia"/>
          <w:sz w:val="20"/>
          <w:szCs w:val="20"/>
        </w:rPr>
        <w:t>通识教育必修课</w:t>
      </w:r>
      <w:r>
        <w:rPr>
          <w:sz w:val="20"/>
          <w:szCs w:val="20"/>
        </w:rPr>
        <w:t>】</w:t>
      </w:r>
    </w:p>
    <w:p>
      <w:pPr>
        <w:snapToGrid w:val="0"/>
        <w:spacing w:line="288" w:lineRule="auto"/>
        <w:ind w:firstLine="394" w:firstLineChars="196"/>
        <w:rPr>
          <w:b/>
          <w:bCs/>
          <w:szCs w:val="21"/>
        </w:rPr>
      </w:pPr>
      <w:r>
        <w:rPr>
          <w:b/>
          <w:bCs/>
          <w:sz w:val="20"/>
          <w:szCs w:val="20"/>
        </w:rPr>
        <w:t>开课院系：</w:t>
      </w:r>
      <w:r>
        <w:rPr>
          <w:rFonts w:hint="eastAsia"/>
          <w:bCs/>
          <w:sz w:val="20"/>
          <w:szCs w:val="20"/>
        </w:rPr>
        <w:t>通识教育学院</w:t>
      </w:r>
    </w:p>
    <w:p>
      <w:pPr>
        <w:snapToGrid w:val="0"/>
        <w:spacing w:line="288" w:lineRule="auto"/>
        <w:ind w:firstLine="394" w:firstLineChars="196"/>
        <w:rPr>
          <w:szCs w:val="21"/>
        </w:rPr>
      </w:pPr>
      <w:r>
        <w:rPr>
          <w:b/>
          <w:bCs/>
          <w:sz w:val="20"/>
          <w:szCs w:val="20"/>
        </w:rPr>
        <w:t>使用教材：</w:t>
      </w:r>
      <w:r>
        <w:rPr>
          <w:sz w:val="20"/>
          <w:szCs w:val="20"/>
        </w:rPr>
        <w:t>主教材【</w:t>
      </w:r>
      <w:r>
        <w:rPr>
          <w:rFonts w:hint="eastAsia"/>
          <w:sz w:val="20"/>
          <w:szCs w:val="20"/>
        </w:rPr>
        <w:t>大学物理实验方利广同济大学出版社2006年2月第一版</w:t>
      </w:r>
      <w:r>
        <w:rPr>
          <w:sz w:val="20"/>
          <w:szCs w:val="20"/>
        </w:rPr>
        <w:t>】</w:t>
      </w:r>
    </w:p>
    <w:p>
      <w:pPr>
        <w:snapToGrid w:val="0"/>
        <w:spacing w:line="288" w:lineRule="auto"/>
        <w:ind w:left="718"/>
        <w:rPr>
          <w:szCs w:val="21"/>
        </w:rPr>
      </w:pPr>
      <w:r>
        <w:rPr>
          <w:sz w:val="20"/>
          <w:szCs w:val="20"/>
        </w:rPr>
        <w:t>辅助教材【</w:t>
      </w:r>
      <w:r>
        <w:rPr>
          <w:rFonts w:hint="eastAsia"/>
          <w:sz w:val="20"/>
          <w:szCs w:val="20"/>
        </w:rPr>
        <w:t>无</w:t>
      </w:r>
      <w:r>
        <w:rPr>
          <w:sz w:val="20"/>
          <w:szCs w:val="20"/>
        </w:rPr>
        <w:t>】</w:t>
      </w:r>
    </w:p>
    <w:p>
      <w:pPr>
        <w:snapToGrid w:val="0"/>
        <w:spacing w:line="288" w:lineRule="auto"/>
        <w:ind w:left="718"/>
        <w:rPr>
          <w:szCs w:val="21"/>
        </w:rPr>
      </w:pPr>
      <w:r>
        <w:rPr>
          <w:sz w:val="20"/>
          <w:szCs w:val="20"/>
        </w:rPr>
        <w:t>参考教材【</w:t>
      </w:r>
      <w:r>
        <w:rPr>
          <w:rFonts w:hint="eastAsia"/>
          <w:sz w:val="20"/>
          <w:szCs w:val="20"/>
        </w:rPr>
        <w:t>无</w:t>
      </w:r>
      <w:r>
        <w:rPr>
          <w:sz w:val="20"/>
          <w:szCs w:val="20"/>
        </w:rPr>
        <w:t>】</w:t>
      </w:r>
    </w:p>
    <w:p>
      <w:pPr>
        <w:adjustRightInd w:val="0"/>
        <w:snapToGrid w:val="0"/>
        <w:spacing w:line="288" w:lineRule="auto"/>
        <w:ind w:firstLine="394" w:firstLineChars="196"/>
        <w:rPr>
          <w:sz w:val="20"/>
          <w:szCs w:val="20"/>
        </w:rPr>
      </w:pPr>
      <w:r>
        <w:rPr>
          <w:b/>
          <w:bCs/>
          <w:sz w:val="20"/>
          <w:szCs w:val="20"/>
        </w:rPr>
        <w:t>先修课程：</w:t>
      </w:r>
      <w:r>
        <w:rPr>
          <w:sz w:val="20"/>
          <w:szCs w:val="20"/>
        </w:rPr>
        <w:t>【</w:t>
      </w:r>
      <w:r>
        <w:rPr>
          <w:rFonts w:hint="eastAsia"/>
          <w:sz w:val="20"/>
          <w:szCs w:val="20"/>
        </w:rPr>
        <w:t>无</w:t>
      </w:r>
      <w:r>
        <w:rPr>
          <w:sz w:val="20"/>
          <w:szCs w:val="20"/>
        </w:rPr>
        <w:t>】</w:t>
      </w:r>
    </w:p>
    <w:p>
      <w:pPr>
        <w:adjustRightInd w:val="0"/>
        <w:snapToGrid w:val="0"/>
        <w:spacing w:beforeLines="50" w:afterLines="50" w:line="288" w:lineRule="auto"/>
        <w:ind w:firstLine="348" w:firstLineChars="145"/>
        <w:rPr>
          <w:b/>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widowControl/>
        <w:spacing w:beforeLines="50" w:afterLines="50" w:line="288" w:lineRule="auto"/>
        <w:ind w:firstLine="300" w:firstLineChars="150"/>
        <w:jc w:val="left"/>
        <w:rPr>
          <w:sz w:val="20"/>
          <w:szCs w:val="20"/>
        </w:rPr>
      </w:pPr>
      <w:r>
        <w:rPr>
          <w:rFonts w:hint="eastAsia"/>
          <w:sz w:val="20"/>
          <w:szCs w:val="20"/>
        </w:rPr>
        <w:t>大学物理实验是学生进入大学后受到系统的实验技能训练的基础，是后继课程和以后从事实际工作的基础。通过本课程的学习，使学生受到基本物理概念、基本物理实验方法、基本物理实验技能方面的基本训练，逐步具备运用物理概念、物理实验方法进行科学实验的能力；培养学生从事科学实验的素质，包括实事求是的科学作风、认真负责的工作态度，遵守纪律、爱护公共财物的优良品德。</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Lines="50" w:afterLines="50" w:line="288" w:lineRule="auto"/>
        <w:ind w:firstLine="300" w:firstLineChars="150"/>
        <w:jc w:val="left"/>
        <w:rPr>
          <w:sz w:val="20"/>
          <w:szCs w:val="20"/>
        </w:rPr>
      </w:pPr>
      <w:r>
        <w:rPr>
          <w:rFonts w:hint="eastAsia"/>
          <w:sz w:val="20"/>
          <w:szCs w:val="20"/>
        </w:rPr>
        <w:t>适合</w:t>
      </w:r>
      <w:r>
        <w:rPr>
          <w:rFonts w:hint="eastAsia" w:ascii="宋体" w:hAnsi="宋体"/>
          <w:sz w:val="20"/>
          <w:szCs w:val="20"/>
        </w:rPr>
        <w:t>工科本科各专业：微电子学、机械设计制造及其自动化、电子科学与技术、计算机科学与技术、计算机科学与技术（软件服务外包）、数字媒体艺术、网络工程，</w:t>
      </w:r>
      <w:r>
        <w:rPr>
          <w:rFonts w:hint="eastAsia"/>
          <w:sz w:val="20"/>
          <w:szCs w:val="20"/>
        </w:rPr>
        <w:t>一年级第二学期学习</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课程与培养学生能力的关联性</w:t>
      </w:r>
    </w:p>
    <w:tbl>
      <w:tblPr>
        <w:tblStyle w:val="7"/>
        <w:tblpPr w:leftFromText="180" w:rightFromText="180" w:vertAnchor="text" w:horzAnchor="margin" w:tblpX="250" w:tblpY="213"/>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134"/>
        <w:gridCol w:w="1134"/>
        <w:gridCol w:w="1134"/>
        <w:gridCol w:w="567"/>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675"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自主学习</w:t>
            </w:r>
          </w:p>
        </w:tc>
        <w:tc>
          <w:tcPr>
            <w:tcW w:w="709"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表达沟通</w:t>
            </w:r>
          </w:p>
        </w:tc>
        <w:tc>
          <w:tcPr>
            <w:tcW w:w="3969" w:type="dxa"/>
            <w:gridSpan w:val="4"/>
            <w:shd w:val="clear" w:color="auto" w:fill="auto"/>
            <w:vAlign w:val="center"/>
          </w:tcPr>
          <w:p>
            <w:pPr>
              <w:snapToGrid w:val="0"/>
              <w:spacing w:line="340" w:lineRule="exact"/>
              <w:jc w:val="center"/>
              <w:rPr>
                <w:color w:val="000000"/>
                <w:sz w:val="20"/>
                <w:szCs w:val="20"/>
              </w:rPr>
            </w:pPr>
            <w:r>
              <w:rPr>
                <w:rFonts w:hint="eastAsia"/>
                <w:color w:val="000000"/>
                <w:sz w:val="20"/>
                <w:szCs w:val="20"/>
              </w:rPr>
              <w:t>专业能力</w:t>
            </w:r>
          </w:p>
        </w:tc>
        <w:tc>
          <w:tcPr>
            <w:tcW w:w="709"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尽责抗压</w:t>
            </w:r>
          </w:p>
        </w:tc>
        <w:tc>
          <w:tcPr>
            <w:tcW w:w="709"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协同创新</w:t>
            </w:r>
          </w:p>
        </w:tc>
        <w:tc>
          <w:tcPr>
            <w:tcW w:w="708"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服务关爱</w:t>
            </w:r>
          </w:p>
        </w:tc>
        <w:tc>
          <w:tcPr>
            <w:tcW w:w="709"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信息应用</w:t>
            </w:r>
          </w:p>
        </w:tc>
        <w:tc>
          <w:tcPr>
            <w:tcW w:w="709" w:type="dxa"/>
            <w:vMerge w:val="restart"/>
            <w:shd w:val="clear" w:color="auto" w:fill="auto"/>
            <w:vAlign w:val="center"/>
          </w:tcPr>
          <w:p>
            <w:pPr>
              <w:snapToGrid w:val="0"/>
              <w:spacing w:line="340" w:lineRule="exact"/>
              <w:jc w:val="center"/>
              <w:rPr>
                <w:color w:val="000000"/>
                <w:sz w:val="20"/>
                <w:szCs w:val="20"/>
              </w:rPr>
            </w:pPr>
            <w:r>
              <w:rPr>
                <w:rFonts w:hint="eastAsia"/>
                <w:color w:val="000000"/>
                <w:sz w:val="20"/>
                <w:szCs w:val="20"/>
              </w:rPr>
              <w:t>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75" w:type="dxa"/>
            <w:vMerge w:val="continue"/>
            <w:shd w:val="clear" w:color="auto" w:fill="auto"/>
            <w:vAlign w:val="center"/>
          </w:tcPr>
          <w:p>
            <w:pPr>
              <w:snapToGrid w:val="0"/>
              <w:spacing w:line="340" w:lineRule="exact"/>
              <w:jc w:val="center"/>
              <w:rPr>
                <w:color w:val="000000"/>
                <w:sz w:val="20"/>
                <w:szCs w:val="20"/>
              </w:rPr>
            </w:pPr>
          </w:p>
        </w:tc>
        <w:tc>
          <w:tcPr>
            <w:tcW w:w="709" w:type="dxa"/>
            <w:vMerge w:val="continue"/>
            <w:shd w:val="clear" w:color="auto" w:fill="auto"/>
            <w:vAlign w:val="center"/>
          </w:tcPr>
          <w:p>
            <w:pPr>
              <w:snapToGrid w:val="0"/>
              <w:spacing w:line="340" w:lineRule="exact"/>
              <w:jc w:val="center"/>
              <w:rPr>
                <w:color w:val="000000"/>
                <w:sz w:val="20"/>
                <w:szCs w:val="20"/>
              </w:rPr>
            </w:pPr>
          </w:p>
        </w:tc>
        <w:tc>
          <w:tcPr>
            <w:tcW w:w="1134" w:type="dxa"/>
            <w:shd w:val="clear" w:color="auto" w:fill="auto"/>
            <w:vAlign w:val="center"/>
          </w:tcPr>
          <w:p>
            <w:pPr>
              <w:snapToGrid w:val="0"/>
              <w:spacing w:line="340" w:lineRule="exact"/>
              <w:rPr>
                <w:color w:val="000000"/>
                <w:sz w:val="20"/>
                <w:szCs w:val="20"/>
              </w:rPr>
            </w:pPr>
          </w:p>
        </w:tc>
        <w:tc>
          <w:tcPr>
            <w:tcW w:w="1134" w:type="dxa"/>
            <w:shd w:val="clear" w:color="auto" w:fill="auto"/>
            <w:vAlign w:val="center"/>
          </w:tcPr>
          <w:p>
            <w:pPr>
              <w:snapToGrid w:val="0"/>
              <w:spacing w:line="340" w:lineRule="exact"/>
              <w:rPr>
                <w:color w:val="000000"/>
                <w:sz w:val="20"/>
                <w:szCs w:val="20"/>
              </w:rPr>
            </w:pPr>
          </w:p>
        </w:tc>
        <w:tc>
          <w:tcPr>
            <w:tcW w:w="1134" w:type="dxa"/>
            <w:shd w:val="clear" w:color="auto" w:fill="auto"/>
            <w:vAlign w:val="center"/>
          </w:tcPr>
          <w:p>
            <w:pPr>
              <w:snapToGrid w:val="0"/>
              <w:spacing w:line="340" w:lineRule="exact"/>
              <w:rPr>
                <w:color w:val="000000"/>
                <w:sz w:val="20"/>
                <w:szCs w:val="20"/>
              </w:rPr>
            </w:pPr>
          </w:p>
        </w:tc>
        <w:tc>
          <w:tcPr>
            <w:tcW w:w="567" w:type="dxa"/>
            <w:shd w:val="clear" w:color="auto" w:fill="auto"/>
            <w:vAlign w:val="center"/>
          </w:tcPr>
          <w:p>
            <w:pPr>
              <w:snapToGrid w:val="0"/>
              <w:spacing w:line="340" w:lineRule="exact"/>
              <w:jc w:val="center"/>
              <w:rPr>
                <w:color w:val="000000"/>
                <w:sz w:val="20"/>
                <w:szCs w:val="20"/>
              </w:rPr>
            </w:pPr>
          </w:p>
        </w:tc>
        <w:tc>
          <w:tcPr>
            <w:tcW w:w="709" w:type="dxa"/>
            <w:vMerge w:val="continue"/>
            <w:shd w:val="clear" w:color="auto" w:fill="auto"/>
            <w:vAlign w:val="center"/>
          </w:tcPr>
          <w:p>
            <w:pPr>
              <w:snapToGrid w:val="0"/>
              <w:spacing w:line="340" w:lineRule="exact"/>
              <w:jc w:val="center"/>
              <w:rPr>
                <w:color w:val="000000"/>
                <w:sz w:val="20"/>
                <w:szCs w:val="20"/>
              </w:rPr>
            </w:pPr>
          </w:p>
        </w:tc>
        <w:tc>
          <w:tcPr>
            <w:tcW w:w="709" w:type="dxa"/>
            <w:vMerge w:val="continue"/>
            <w:shd w:val="clear" w:color="auto" w:fill="auto"/>
            <w:vAlign w:val="center"/>
          </w:tcPr>
          <w:p>
            <w:pPr>
              <w:snapToGrid w:val="0"/>
              <w:spacing w:line="340" w:lineRule="exact"/>
              <w:jc w:val="center"/>
              <w:rPr>
                <w:color w:val="000000"/>
                <w:sz w:val="20"/>
                <w:szCs w:val="20"/>
              </w:rPr>
            </w:pPr>
          </w:p>
        </w:tc>
        <w:tc>
          <w:tcPr>
            <w:tcW w:w="708" w:type="dxa"/>
            <w:vMerge w:val="continue"/>
            <w:shd w:val="clear" w:color="auto" w:fill="auto"/>
            <w:vAlign w:val="center"/>
          </w:tcPr>
          <w:p>
            <w:pPr>
              <w:snapToGrid w:val="0"/>
              <w:spacing w:line="340" w:lineRule="exact"/>
              <w:jc w:val="center"/>
              <w:rPr>
                <w:color w:val="000000"/>
                <w:sz w:val="20"/>
                <w:szCs w:val="20"/>
              </w:rPr>
            </w:pPr>
          </w:p>
        </w:tc>
        <w:tc>
          <w:tcPr>
            <w:tcW w:w="709" w:type="dxa"/>
            <w:vMerge w:val="continue"/>
            <w:shd w:val="clear" w:color="auto" w:fill="auto"/>
            <w:vAlign w:val="center"/>
          </w:tcPr>
          <w:p>
            <w:pPr>
              <w:snapToGrid w:val="0"/>
              <w:spacing w:line="340" w:lineRule="exact"/>
              <w:jc w:val="center"/>
              <w:rPr>
                <w:color w:val="000000"/>
                <w:sz w:val="20"/>
                <w:szCs w:val="20"/>
              </w:rPr>
            </w:pPr>
          </w:p>
        </w:tc>
        <w:tc>
          <w:tcPr>
            <w:tcW w:w="709" w:type="dxa"/>
            <w:vMerge w:val="continue"/>
            <w:shd w:val="clear" w:color="auto" w:fill="auto"/>
            <w:vAlign w:val="center"/>
          </w:tcPr>
          <w:p>
            <w:pPr>
              <w:snapToGrid w:val="0"/>
              <w:spacing w:line="340" w:lineRule="exact"/>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675" w:type="dxa"/>
            <w:shd w:val="clear" w:color="auto" w:fill="auto"/>
            <w:vAlign w:val="center"/>
          </w:tcPr>
          <w:p>
            <w:pPr>
              <w:snapToGrid w:val="0"/>
              <w:jc w:val="center"/>
              <w:rPr>
                <w:color w:val="000000"/>
                <w:sz w:val="20"/>
                <w:szCs w:val="20"/>
              </w:rPr>
            </w:pPr>
            <w:r>
              <w:rPr>
                <w:color w:val="000000"/>
                <w:sz w:val="20"/>
                <w:szCs w:val="20"/>
              </w:rPr>
              <w:sym w:font="Wingdings 2" w:char="F098"/>
            </w:r>
          </w:p>
        </w:tc>
        <w:tc>
          <w:tcPr>
            <w:tcW w:w="709" w:type="dxa"/>
            <w:shd w:val="clear" w:color="auto" w:fill="auto"/>
            <w:vAlign w:val="center"/>
          </w:tcPr>
          <w:p>
            <w:pPr>
              <w:snapToGrid w:val="0"/>
              <w:jc w:val="center"/>
              <w:rPr>
                <w:color w:val="000000"/>
                <w:sz w:val="20"/>
                <w:szCs w:val="20"/>
              </w:rPr>
            </w:pPr>
            <w:r>
              <w:rPr>
                <w:color w:val="000000"/>
                <w:sz w:val="20"/>
                <w:szCs w:val="20"/>
              </w:rPr>
              <w:sym w:font="Wingdings 2" w:char="F098"/>
            </w:r>
          </w:p>
        </w:tc>
        <w:tc>
          <w:tcPr>
            <w:tcW w:w="1134" w:type="dxa"/>
            <w:shd w:val="clear" w:color="auto" w:fill="auto"/>
            <w:vAlign w:val="center"/>
          </w:tcPr>
          <w:p>
            <w:pPr>
              <w:snapToGrid w:val="0"/>
              <w:jc w:val="center"/>
              <w:rPr>
                <w:color w:val="000000"/>
                <w:sz w:val="20"/>
                <w:szCs w:val="20"/>
              </w:rPr>
            </w:pPr>
          </w:p>
        </w:tc>
        <w:tc>
          <w:tcPr>
            <w:tcW w:w="1134" w:type="dxa"/>
            <w:shd w:val="clear" w:color="auto" w:fill="auto"/>
            <w:vAlign w:val="center"/>
          </w:tcPr>
          <w:p>
            <w:pPr>
              <w:snapToGrid w:val="0"/>
              <w:jc w:val="center"/>
              <w:rPr>
                <w:color w:val="000000"/>
                <w:sz w:val="20"/>
                <w:szCs w:val="20"/>
              </w:rPr>
            </w:pPr>
          </w:p>
        </w:tc>
        <w:tc>
          <w:tcPr>
            <w:tcW w:w="1134" w:type="dxa"/>
            <w:shd w:val="clear" w:color="auto" w:fill="auto"/>
            <w:vAlign w:val="center"/>
          </w:tcPr>
          <w:p>
            <w:pPr>
              <w:snapToGrid w:val="0"/>
              <w:jc w:val="center"/>
              <w:rPr>
                <w:color w:val="000000"/>
                <w:sz w:val="20"/>
                <w:szCs w:val="20"/>
              </w:rPr>
            </w:pPr>
          </w:p>
        </w:tc>
        <w:tc>
          <w:tcPr>
            <w:tcW w:w="567" w:type="dxa"/>
            <w:shd w:val="clear" w:color="auto" w:fill="auto"/>
            <w:vAlign w:val="center"/>
          </w:tcPr>
          <w:p>
            <w:pPr>
              <w:snapToGrid w:val="0"/>
              <w:jc w:val="center"/>
              <w:rPr>
                <w:color w:val="000000"/>
                <w:sz w:val="20"/>
                <w:szCs w:val="20"/>
              </w:rPr>
            </w:pPr>
          </w:p>
        </w:tc>
        <w:tc>
          <w:tcPr>
            <w:tcW w:w="709" w:type="dxa"/>
            <w:shd w:val="clear" w:color="auto" w:fill="auto"/>
            <w:vAlign w:val="center"/>
          </w:tcPr>
          <w:p>
            <w:pPr>
              <w:snapToGrid w:val="0"/>
              <w:jc w:val="center"/>
              <w:rPr>
                <w:color w:val="000000"/>
                <w:sz w:val="20"/>
                <w:szCs w:val="20"/>
              </w:rPr>
            </w:pPr>
            <w:r>
              <w:rPr>
                <w:color w:val="000000"/>
                <w:sz w:val="20"/>
                <w:szCs w:val="20"/>
              </w:rPr>
              <w:sym w:font="Wingdings 2" w:char="F098"/>
            </w:r>
          </w:p>
        </w:tc>
        <w:tc>
          <w:tcPr>
            <w:tcW w:w="709" w:type="dxa"/>
            <w:shd w:val="clear" w:color="auto" w:fill="auto"/>
            <w:vAlign w:val="center"/>
          </w:tcPr>
          <w:p>
            <w:pPr>
              <w:snapToGrid w:val="0"/>
              <w:jc w:val="center"/>
              <w:rPr>
                <w:color w:val="000000"/>
                <w:sz w:val="20"/>
                <w:szCs w:val="20"/>
              </w:rPr>
            </w:pPr>
            <w:r>
              <w:rPr>
                <w:color w:val="000000"/>
                <w:sz w:val="20"/>
                <w:szCs w:val="20"/>
              </w:rPr>
              <w:sym w:font="Wingdings 2" w:char="F098"/>
            </w:r>
          </w:p>
        </w:tc>
        <w:tc>
          <w:tcPr>
            <w:tcW w:w="708" w:type="dxa"/>
            <w:shd w:val="clear" w:color="auto" w:fill="auto"/>
            <w:vAlign w:val="center"/>
          </w:tcPr>
          <w:p>
            <w:pPr>
              <w:snapToGrid w:val="0"/>
              <w:jc w:val="center"/>
              <w:rPr>
                <w:color w:val="000000"/>
                <w:sz w:val="20"/>
                <w:szCs w:val="20"/>
              </w:rPr>
            </w:pPr>
          </w:p>
        </w:tc>
        <w:tc>
          <w:tcPr>
            <w:tcW w:w="709" w:type="dxa"/>
            <w:shd w:val="clear" w:color="auto" w:fill="auto"/>
            <w:vAlign w:val="center"/>
          </w:tcPr>
          <w:p>
            <w:pPr>
              <w:snapToGrid w:val="0"/>
              <w:jc w:val="center"/>
              <w:rPr>
                <w:color w:val="000000"/>
                <w:sz w:val="20"/>
                <w:szCs w:val="20"/>
              </w:rPr>
            </w:pPr>
          </w:p>
        </w:tc>
        <w:tc>
          <w:tcPr>
            <w:tcW w:w="709" w:type="dxa"/>
            <w:shd w:val="clear" w:color="auto" w:fill="auto"/>
            <w:vAlign w:val="center"/>
          </w:tcPr>
          <w:p>
            <w:pPr>
              <w:snapToGrid w:val="0"/>
              <w:jc w:val="center"/>
              <w:rPr>
                <w:color w:val="000000"/>
                <w:sz w:val="20"/>
                <w:szCs w:val="20"/>
              </w:rPr>
            </w:pPr>
          </w:p>
        </w:tc>
      </w:tr>
    </w:tbl>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课程学习</w:t>
      </w:r>
      <w:r>
        <w:rPr>
          <w:rFonts w:hint="eastAsia" w:ascii="黑体" w:hAnsi="宋体" w:eastAsia="黑体"/>
          <w:sz w:val="24"/>
        </w:rPr>
        <w:t>目标</w:t>
      </w:r>
    </w:p>
    <w:p>
      <w:pPr>
        <w:snapToGrid w:val="0"/>
        <w:spacing w:line="288" w:lineRule="auto"/>
        <w:ind w:firstLine="400" w:firstLineChars="200"/>
        <w:rPr>
          <w:sz w:val="20"/>
          <w:szCs w:val="20"/>
        </w:rPr>
      </w:pPr>
      <w:r>
        <w:rPr>
          <w:rFonts w:hint="eastAsia"/>
          <w:sz w:val="20"/>
          <w:szCs w:val="20"/>
        </w:rPr>
        <w:t>知识目标：知道物理实验的基本理论、典型的实验方法及其物理思想。</w:t>
      </w:r>
    </w:p>
    <w:p>
      <w:pPr>
        <w:snapToGrid w:val="0"/>
        <w:spacing w:line="288" w:lineRule="auto"/>
        <w:ind w:firstLine="400" w:firstLineChars="200"/>
        <w:rPr>
          <w:sz w:val="20"/>
          <w:szCs w:val="20"/>
        </w:rPr>
      </w:pPr>
      <w:r>
        <w:rPr>
          <w:rFonts w:hint="eastAsia"/>
          <w:sz w:val="20"/>
          <w:szCs w:val="20"/>
        </w:rPr>
        <w:t>能力目标：掌握操作技能训练，培养学生动手能力。</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numPr>
          <w:ilvl w:val="0"/>
          <w:numId w:val="1"/>
        </w:numPr>
        <w:tabs>
          <w:tab w:val="left" w:pos="420"/>
        </w:tabs>
        <w:snapToGrid w:val="0"/>
        <w:spacing w:line="288" w:lineRule="auto"/>
        <w:rPr>
          <w:rFonts w:ascii="宋体" w:hAnsi="宋体"/>
          <w:sz w:val="20"/>
          <w:szCs w:val="20"/>
        </w:rPr>
      </w:pPr>
      <w:r>
        <w:rPr>
          <w:rFonts w:hint="eastAsia" w:ascii="宋体" w:hAnsi="宋体" w:eastAsia="宋体" w:cs="Times New Roman"/>
          <w:kern w:val="2"/>
          <w:sz w:val="20"/>
          <w:szCs w:val="20"/>
          <w:lang w:val="en-US" w:eastAsia="zh-CN" w:bidi="ar"/>
        </w:rPr>
        <w:t>电表改装：理解将电流表改装成电压表和扩大电流量程的原理，运用原理对电表改装和校正，分析一个小型设计实验的全过程</w:t>
      </w:r>
      <w:r>
        <w:rPr>
          <w:rFonts w:hint="eastAsia" w:ascii="宋体" w:hAnsi="宋体"/>
          <w:sz w:val="20"/>
          <w:szCs w:val="20"/>
        </w:rPr>
        <w:t>。</w:t>
      </w:r>
    </w:p>
    <w:p>
      <w:pPr>
        <w:numPr>
          <w:ilvl w:val="0"/>
          <w:numId w:val="1"/>
        </w:numPr>
        <w:tabs>
          <w:tab w:val="left" w:pos="420"/>
        </w:tabs>
        <w:snapToGrid w:val="0"/>
        <w:spacing w:line="288" w:lineRule="auto"/>
        <w:rPr>
          <w:rFonts w:ascii="宋体" w:hAnsi="宋体"/>
          <w:sz w:val="20"/>
          <w:szCs w:val="20"/>
        </w:rPr>
      </w:pPr>
      <w:r>
        <w:rPr>
          <w:rFonts w:hint="eastAsia" w:ascii="宋体" w:hAnsi="宋体"/>
          <w:sz w:val="20"/>
          <w:szCs w:val="20"/>
        </w:rPr>
        <w:t>示波器的使用：知道示波器的主要组成部分和波形显示原理，运用示波器和信号发生器进行实验；运用李萨如图形测正弦电压的频率和用示波器测量交直流电压信号的方法。</w:t>
      </w:r>
    </w:p>
    <w:p>
      <w:pPr>
        <w:numPr>
          <w:ilvl w:val="0"/>
          <w:numId w:val="1"/>
        </w:numPr>
        <w:tabs>
          <w:tab w:val="left" w:pos="420"/>
        </w:tabs>
        <w:snapToGrid w:val="0"/>
        <w:spacing w:line="288" w:lineRule="auto"/>
        <w:rPr>
          <w:rFonts w:ascii="宋体" w:hAnsi="宋体"/>
          <w:sz w:val="20"/>
          <w:szCs w:val="20"/>
        </w:rPr>
      </w:pPr>
      <w:r>
        <w:rPr>
          <w:rFonts w:hint="eastAsia" w:ascii="宋体" w:hAnsi="宋体"/>
          <w:sz w:val="20"/>
          <w:szCs w:val="20"/>
        </w:rPr>
        <w:t>金属丝杨氏弹性模量的测</w:t>
      </w:r>
      <w:r>
        <w:rPr>
          <w:rFonts w:hint="eastAsia" w:ascii="宋体" w:hAnsi="宋体"/>
          <w:sz w:val="20"/>
          <w:szCs w:val="20"/>
          <w:lang w:eastAsia="zh-CN"/>
        </w:rPr>
        <w:t>定</w:t>
      </w:r>
      <w:r>
        <w:rPr>
          <w:rFonts w:hint="eastAsia" w:ascii="宋体" w:hAnsi="宋体"/>
          <w:sz w:val="20"/>
          <w:szCs w:val="20"/>
        </w:rPr>
        <w:t>：理解杠杆测量微小长度变化的原理；运用对称测量消除系统误差；理解逐差法处理数据。</w:t>
      </w:r>
    </w:p>
    <w:p>
      <w:pPr>
        <w:numPr>
          <w:ilvl w:val="0"/>
          <w:numId w:val="1"/>
        </w:numPr>
        <w:tabs>
          <w:tab w:val="left" w:pos="420"/>
        </w:tabs>
        <w:snapToGrid w:val="0"/>
        <w:spacing w:line="288" w:lineRule="auto"/>
        <w:rPr>
          <w:rFonts w:ascii="宋体" w:hAnsi="宋体"/>
          <w:sz w:val="20"/>
          <w:szCs w:val="20"/>
        </w:rPr>
      </w:pPr>
      <w:r>
        <w:rPr>
          <w:rFonts w:hint="eastAsia" w:ascii="宋体" w:hAnsi="宋体"/>
          <w:sz w:val="20"/>
          <w:szCs w:val="20"/>
        </w:rPr>
        <w:t>扭摆法测量物体转动惯量：理解扭摆实验装置的调节方法，学会测量圆盘、圆筒、圆柱和细杆绕中心轴的转动惯量，验证转动惯量平行轴定理。</w:t>
      </w:r>
    </w:p>
    <w:p>
      <w:pPr>
        <w:numPr>
          <w:ilvl w:val="0"/>
          <w:numId w:val="1"/>
        </w:numPr>
        <w:tabs>
          <w:tab w:val="left" w:pos="420"/>
        </w:tabs>
        <w:snapToGrid w:val="0"/>
        <w:spacing w:line="288" w:lineRule="auto"/>
        <w:rPr>
          <w:rFonts w:ascii="宋体" w:hAnsi="宋体"/>
          <w:sz w:val="20"/>
          <w:szCs w:val="20"/>
        </w:rPr>
      </w:pPr>
      <w:r>
        <w:rPr>
          <w:rFonts w:hint="eastAsia" w:ascii="宋体" w:hAnsi="宋体"/>
          <w:sz w:val="20"/>
          <w:szCs w:val="20"/>
          <w:lang w:eastAsia="zh-CN"/>
        </w:rPr>
        <w:t>仿真实验：运用仿真预习系统对实验进行预习，运用仿真考核系统对实验进行一对一的操作考试</w:t>
      </w:r>
      <w:r>
        <w:rPr>
          <w:rFonts w:hint="eastAsia" w:ascii="宋体" w:hAnsi="宋体"/>
          <w:sz w:val="20"/>
          <w:szCs w:val="20"/>
        </w:rPr>
        <w:t>。</w:t>
      </w:r>
    </w:p>
    <w:p>
      <w:pPr>
        <w:snapToGrid w:val="0"/>
        <w:spacing w:line="288" w:lineRule="auto"/>
        <w:ind w:firstLine="402" w:firstLineChars="200"/>
        <w:rPr>
          <w:b/>
          <w:sz w:val="20"/>
          <w:szCs w:val="20"/>
        </w:rPr>
      </w:pPr>
    </w:p>
    <w:p>
      <w:pPr>
        <w:widowControl/>
        <w:spacing w:beforeLines="50" w:afterLines="50" w:line="288" w:lineRule="auto"/>
        <w:ind w:firstLine="360" w:firstLineChars="150"/>
        <w:jc w:val="left"/>
        <w:rPr>
          <w:rFonts w:ascii="宋体" w:hAnsi="宋体"/>
          <w:szCs w:val="21"/>
        </w:rPr>
      </w:pPr>
      <w:r>
        <w:rPr>
          <w:rFonts w:hint="eastAsia" w:ascii="黑体" w:hAnsi="宋体" w:eastAsia="黑体"/>
          <w:sz w:val="24"/>
        </w:rPr>
        <w:t>七、课内实验名称及基本要求</w:t>
      </w:r>
    </w:p>
    <w:tbl>
      <w:tblPr>
        <w:tblStyle w:val="7"/>
        <w:tblW w:w="101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698"/>
        <w:gridCol w:w="4305"/>
        <w:gridCol w:w="720"/>
        <w:gridCol w:w="1043"/>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2" w:type="dxa"/>
            <w:vAlign w:val="center"/>
          </w:tcPr>
          <w:p>
            <w:pPr>
              <w:snapToGrid w:val="0"/>
              <w:jc w:val="center"/>
              <w:rPr>
                <w:rFonts w:ascii="宋体" w:hAnsi="宋体"/>
                <w:sz w:val="20"/>
                <w:szCs w:val="20"/>
              </w:rPr>
            </w:pPr>
            <w:r>
              <w:rPr>
                <w:rFonts w:hint="eastAsia" w:ascii="宋体" w:hAnsi="宋体"/>
                <w:sz w:val="20"/>
                <w:szCs w:val="20"/>
              </w:rPr>
              <w:t>实验</w:t>
            </w:r>
          </w:p>
          <w:p>
            <w:pPr>
              <w:autoSpaceDE w:val="0"/>
              <w:autoSpaceDN w:val="0"/>
              <w:adjustRightInd w:val="0"/>
              <w:snapToGrid w:val="0"/>
              <w:spacing w:beforeLines="10" w:afterLines="10"/>
              <w:jc w:val="center"/>
              <w:rPr>
                <w:sz w:val="20"/>
                <w:szCs w:val="20"/>
                <w:lang w:val="zh-CN"/>
              </w:rPr>
            </w:pPr>
            <w:r>
              <w:rPr>
                <w:sz w:val="20"/>
                <w:szCs w:val="20"/>
                <w:lang w:val="zh-CN"/>
              </w:rPr>
              <w:t>序号</w:t>
            </w:r>
          </w:p>
        </w:tc>
        <w:tc>
          <w:tcPr>
            <w:tcW w:w="2698"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实验名称</w:t>
            </w:r>
          </w:p>
        </w:tc>
        <w:tc>
          <w:tcPr>
            <w:tcW w:w="4305"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主要内容</w:t>
            </w:r>
          </w:p>
        </w:tc>
        <w:tc>
          <w:tcPr>
            <w:tcW w:w="720"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实验时数</w:t>
            </w:r>
          </w:p>
        </w:tc>
        <w:tc>
          <w:tcPr>
            <w:tcW w:w="1043" w:type="dxa"/>
            <w:vAlign w:val="center"/>
          </w:tcPr>
          <w:p>
            <w:pPr>
              <w:autoSpaceDE w:val="0"/>
              <w:autoSpaceDN w:val="0"/>
              <w:adjustRightInd w:val="0"/>
              <w:snapToGrid w:val="0"/>
              <w:spacing w:beforeLines="10" w:afterLines="10"/>
              <w:jc w:val="center"/>
              <w:rPr>
                <w:sz w:val="20"/>
                <w:szCs w:val="20"/>
                <w:lang w:val="zh-CN"/>
              </w:rPr>
            </w:pPr>
            <w:r>
              <w:rPr>
                <w:rFonts w:hint="eastAsia" w:ascii="宋体"/>
                <w:sz w:val="20"/>
                <w:szCs w:val="20"/>
              </w:rPr>
              <w:t>实验类型</w:t>
            </w:r>
          </w:p>
        </w:tc>
        <w:tc>
          <w:tcPr>
            <w:tcW w:w="655"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Align w:val="center"/>
          </w:tcPr>
          <w:p>
            <w:pPr>
              <w:autoSpaceDE w:val="0"/>
              <w:autoSpaceDN w:val="0"/>
              <w:adjustRightInd w:val="0"/>
              <w:snapToGrid w:val="0"/>
              <w:spacing w:beforeLines="10" w:afterLines="10"/>
              <w:jc w:val="center"/>
              <w:rPr>
                <w:sz w:val="18"/>
                <w:szCs w:val="18"/>
                <w:lang w:val="zh-CN"/>
              </w:rPr>
            </w:pPr>
            <w:r>
              <w:rPr>
                <w:rFonts w:hint="eastAsia"/>
                <w:sz w:val="18"/>
                <w:szCs w:val="18"/>
                <w:lang w:val="zh-CN"/>
              </w:rPr>
              <w:t>1</w:t>
            </w:r>
          </w:p>
        </w:tc>
        <w:tc>
          <w:tcPr>
            <w:tcW w:w="2698" w:type="dxa"/>
            <w:vAlign w:val="center"/>
          </w:tcPr>
          <w:p>
            <w:pPr>
              <w:autoSpaceDE w:val="0"/>
              <w:autoSpaceDN w:val="0"/>
              <w:adjustRightInd w:val="0"/>
              <w:snapToGrid w:val="0"/>
              <w:spacing w:beforeLines="10" w:afterLines="10"/>
              <w:rPr>
                <w:rFonts w:hint="eastAsia" w:eastAsia="宋体"/>
                <w:sz w:val="18"/>
                <w:szCs w:val="18"/>
                <w:lang w:val="zh-CN" w:eastAsia="zh-CN"/>
              </w:rPr>
            </w:pPr>
            <w:r>
              <w:rPr>
                <w:rFonts w:hint="eastAsia"/>
                <w:sz w:val="18"/>
                <w:szCs w:val="18"/>
                <w:lang w:val="zh-CN" w:eastAsia="zh-CN"/>
              </w:rPr>
              <w:t>电表的改装</w:t>
            </w:r>
          </w:p>
        </w:tc>
        <w:tc>
          <w:tcPr>
            <w:tcW w:w="4305" w:type="dxa"/>
            <w:vAlign w:val="center"/>
          </w:tcPr>
          <w:p>
            <w:pPr>
              <w:autoSpaceDE w:val="0"/>
              <w:autoSpaceDN w:val="0"/>
              <w:adjustRightInd w:val="0"/>
              <w:snapToGrid w:val="0"/>
              <w:spacing w:beforeLines="10" w:afterLines="10"/>
              <w:rPr>
                <w:sz w:val="18"/>
                <w:szCs w:val="18"/>
                <w:lang w:val="zh-CN"/>
              </w:rPr>
            </w:pPr>
            <w:r>
              <w:rPr>
                <w:rFonts w:hint="eastAsia" w:ascii="宋体" w:hAnsi="宋体" w:eastAsia="宋体" w:cs="Times New Roman"/>
                <w:kern w:val="2"/>
                <w:sz w:val="20"/>
                <w:szCs w:val="20"/>
                <w:lang w:val="en-US" w:eastAsia="zh-CN" w:bidi="ar"/>
              </w:rPr>
              <w:t>将电流表改装成电压表、扩大电流量程对电表改装和校正</w:t>
            </w:r>
          </w:p>
        </w:tc>
        <w:tc>
          <w:tcPr>
            <w:tcW w:w="720"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3学时</w:t>
            </w:r>
          </w:p>
        </w:tc>
        <w:tc>
          <w:tcPr>
            <w:tcW w:w="1043" w:type="dxa"/>
            <w:vAlign w:val="center"/>
          </w:tcPr>
          <w:p>
            <w:pPr>
              <w:autoSpaceDE w:val="0"/>
              <w:autoSpaceDN w:val="0"/>
              <w:adjustRightInd w:val="0"/>
              <w:snapToGrid w:val="0"/>
              <w:spacing w:beforeLines="10" w:afterLines="10"/>
              <w:jc w:val="center"/>
              <w:rPr>
                <w:sz w:val="18"/>
                <w:szCs w:val="18"/>
                <w:lang w:val="zh-CN"/>
              </w:rPr>
            </w:pPr>
            <w:r>
              <w:rPr>
                <w:rFonts w:hint="eastAsia"/>
                <w:sz w:val="20"/>
                <w:szCs w:val="20"/>
                <w:lang w:eastAsia="zh-CN"/>
              </w:rPr>
              <w:t>设计</w:t>
            </w:r>
            <w:r>
              <w:rPr>
                <w:rFonts w:hint="eastAsia"/>
                <w:sz w:val="20"/>
                <w:szCs w:val="20"/>
              </w:rPr>
              <w:t>型</w:t>
            </w:r>
          </w:p>
        </w:tc>
        <w:tc>
          <w:tcPr>
            <w:tcW w:w="655" w:type="dxa"/>
            <w:vAlign w:val="center"/>
          </w:tcPr>
          <w:p>
            <w:pPr>
              <w:autoSpaceDE w:val="0"/>
              <w:autoSpaceDN w:val="0"/>
              <w:adjustRightInd w:val="0"/>
              <w:snapToGrid w:val="0"/>
              <w:spacing w:beforeLines="10" w:afterLines="10"/>
              <w:jc w:val="center"/>
              <w:rPr>
                <w:sz w:val="18"/>
                <w:szCs w:val="18"/>
                <w:lang w:val="zh-CN"/>
              </w:rPr>
            </w:pPr>
            <w:r>
              <w:rPr>
                <w:rFonts w:hint="eastAsia"/>
                <w:sz w:val="18"/>
                <w:szCs w:val="18"/>
                <w:lang w:val="zh-CN"/>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Align w:val="center"/>
          </w:tcPr>
          <w:p>
            <w:pPr>
              <w:autoSpaceDE w:val="0"/>
              <w:autoSpaceDN w:val="0"/>
              <w:adjustRightInd w:val="0"/>
              <w:snapToGrid w:val="0"/>
              <w:spacing w:beforeLines="10" w:afterLines="10"/>
              <w:jc w:val="center"/>
              <w:rPr>
                <w:sz w:val="18"/>
                <w:szCs w:val="18"/>
                <w:lang w:val="zh-CN"/>
              </w:rPr>
            </w:pPr>
            <w:r>
              <w:rPr>
                <w:rFonts w:hint="eastAsia"/>
                <w:sz w:val="18"/>
                <w:szCs w:val="18"/>
                <w:lang w:val="zh-CN"/>
              </w:rPr>
              <w:t>2</w:t>
            </w:r>
          </w:p>
        </w:tc>
        <w:tc>
          <w:tcPr>
            <w:tcW w:w="2698" w:type="dxa"/>
            <w:vAlign w:val="center"/>
          </w:tcPr>
          <w:p>
            <w:pPr>
              <w:autoSpaceDE w:val="0"/>
              <w:autoSpaceDN w:val="0"/>
              <w:adjustRightInd w:val="0"/>
              <w:snapToGrid w:val="0"/>
              <w:spacing w:beforeLines="10" w:afterLines="10"/>
              <w:rPr>
                <w:sz w:val="18"/>
                <w:szCs w:val="18"/>
                <w:lang w:val="zh-CN"/>
              </w:rPr>
            </w:pPr>
            <w:r>
              <w:rPr>
                <w:rFonts w:hint="eastAsia" w:ascii="宋体" w:hAnsi="宋体"/>
                <w:sz w:val="20"/>
                <w:szCs w:val="20"/>
              </w:rPr>
              <w:t>示波器的使用</w:t>
            </w:r>
          </w:p>
        </w:tc>
        <w:tc>
          <w:tcPr>
            <w:tcW w:w="4305" w:type="dxa"/>
            <w:vAlign w:val="center"/>
          </w:tcPr>
          <w:p>
            <w:pPr>
              <w:autoSpaceDE w:val="0"/>
              <w:autoSpaceDN w:val="0"/>
              <w:adjustRightInd w:val="0"/>
              <w:snapToGrid w:val="0"/>
              <w:spacing w:beforeLines="10" w:afterLines="10"/>
              <w:rPr>
                <w:sz w:val="18"/>
                <w:szCs w:val="18"/>
                <w:lang w:val="zh-CN"/>
              </w:rPr>
            </w:pPr>
            <w:r>
              <w:rPr>
                <w:rFonts w:hint="eastAsia" w:ascii="宋体" w:hAnsi="宋体"/>
                <w:sz w:val="20"/>
                <w:szCs w:val="20"/>
              </w:rPr>
              <w:t>示波器的主要组成部分和波形显示原理，测正弦电压的频率和用示波器测量交直流电压信号。</w:t>
            </w:r>
          </w:p>
        </w:tc>
        <w:tc>
          <w:tcPr>
            <w:tcW w:w="720"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3学时</w:t>
            </w:r>
          </w:p>
        </w:tc>
        <w:tc>
          <w:tcPr>
            <w:tcW w:w="1043" w:type="dxa"/>
            <w:vAlign w:val="center"/>
          </w:tcPr>
          <w:p>
            <w:pPr>
              <w:autoSpaceDE w:val="0"/>
              <w:autoSpaceDN w:val="0"/>
              <w:adjustRightInd w:val="0"/>
              <w:snapToGrid w:val="0"/>
              <w:spacing w:beforeLines="10" w:afterLines="10"/>
              <w:jc w:val="center"/>
              <w:rPr>
                <w:sz w:val="18"/>
                <w:szCs w:val="18"/>
                <w:lang w:val="zh-CN"/>
              </w:rPr>
            </w:pPr>
            <w:r>
              <w:rPr>
                <w:rFonts w:hint="eastAsia"/>
                <w:sz w:val="20"/>
                <w:szCs w:val="20"/>
              </w:rPr>
              <w:t>综合型</w:t>
            </w:r>
          </w:p>
        </w:tc>
        <w:tc>
          <w:tcPr>
            <w:tcW w:w="655" w:type="dxa"/>
            <w:vAlign w:val="center"/>
          </w:tcPr>
          <w:p>
            <w:pPr>
              <w:autoSpaceDE w:val="0"/>
              <w:autoSpaceDN w:val="0"/>
              <w:adjustRightInd w:val="0"/>
              <w:snapToGrid w:val="0"/>
              <w:spacing w:beforeLines="10" w:afterLines="10"/>
              <w:jc w:val="center"/>
              <w:rPr>
                <w:sz w:val="18"/>
                <w:szCs w:val="18"/>
                <w:lang w:val="zh-CN"/>
              </w:rPr>
            </w:pPr>
            <w:r>
              <w:rPr>
                <w:rFonts w:hint="eastAsia" w:ascii="宋体" w:hAnsi="宋体"/>
                <w:sz w:val="20"/>
                <w:szCs w:val="20"/>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Align w:val="center"/>
          </w:tcPr>
          <w:p>
            <w:pPr>
              <w:autoSpaceDE w:val="0"/>
              <w:autoSpaceDN w:val="0"/>
              <w:adjustRightInd w:val="0"/>
              <w:snapToGrid w:val="0"/>
              <w:spacing w:beforeLines="10" w:afterLines="10"/>
              <w:jc w:val="center"/>
              <w:rPr>
                <w:sz w:val="18"/>
                <w:szCs w:val="18"/>
                <w:lang w:val="zh-CN"/>
              </w:rPr>
            </w:pPr>
            <w:r>
              <w:rPr>
                <w:rFonts w:hint="eastAsia"/>
                <w:sz w:val="18"/>
                <w:szCs w:val="18"/>
                <w:lang w:val="zh-CN"/>
              </w:rPr>
              <w:t>3</w:t>
            </w:r>
          </w:p>
        </w:tc>
        <w:tc>
          <w:tcPr>
            <w:tcW w:w="2698" w:type="dxa"/>
            <w:vAlign w:val="center"/>
          </w:tcPr>
          <w:p>
            <w:pPr>
              <w:autoSpaceDE w:val="0"/>
              <w:autoSpaceDN w:val="0"/>
              <w:adjustRightInd w:val="0"/>
              <w:snapToGrid w:val="0"/>
              <w:spacing w:beforeLines="10" w:afterLines="10"/>
              <w:rPr>
                <w:sz w:val="18"/>
                <w:szCs w:val="18"/>
                <w:lang w:val="zh-CN"/>
              </w:rPr>
            </w:pPr>
            <w:r>
              <w:rPr>
                <w:rFonts w:hint="eastAsia" w:ascii="宋体" w:hAnsi="宋体"/>
                <w:sz w:val="20"/>
                <w:szCs w:val="20"/>
              </w:rPr>
              <w:t>金属丝杨氏弹性模量的测定</w:t>
            </w:r>
          </w:p>
        </w:tc>
        <w:tc>
          <w:tcPr>
            <w:tcW w:w="4305" w:type="dxa"/>
            <w:vAlign w:val="center"/>
          </w:tcPr>
          <w:p>
            <w:pPr>
              <w:autoSpaceDE w:val="0"/>
              <w:autoSpaceDN w:val="0"/>
              <w:adjustRightInd w:val="0"/>
              <w:snapToGrid w:val="0"/>
              <w:spacing w:beforeLines="10" w:afterLines="10"/>
              <w:rPr>
                <w:sz w:val="18"/>
                <w:szCs w:val="18"/>
                <w:lang w:val="zh-CN"/>
              </w:rPr>
            </w:pPr>
            <w:r>
              <w:rPr>
                <w:rFonts w:hint="eastAsia" w:ascii="宋体" w:hAnsi="宋体"/>
                <w:sz w:val="20"/>
                <w:szCs w:val="20"/>
              </w:rPr>
              <w:t>长度测量、望远镜调节、数据分析。</w:t>
            </w:r>
          </w:p>
        </w:tc>
        <w:tc>
          <w:tcPr>
            <w:tcW w:w="720"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3学时</w:t>
            </w:r>
          </w:p>
        </w:tc>
        <w:tc>
          <w:tcPr>
            <w:tcW w:w="1043" w:type="dxa"/>
            <w:vAlign w:val="center"/>
          </w:tcPr>
          <w:p>
            <w:pPr>
              <w:autoSpaceDE w:val="0"/>
              <w:autoSpaceDN w:val="0"/>
              <w:adjustRightInd w:val="0"/>
              <w:snapToGrid w:val="0"/>
              <w:spacing w:beforeLines="10" w:afterLines="10"/>
              <w:jc w:val="center"/>
              <w:rPr>
                <w:sz w:val="18"/>
                <w:szCs w:val="18"/>
                <w:lang w:val="zh-CN"/>
              </w:rPr>
            </w:pPr>
            <w:r>
              <w:rPr>
                <w:rFonts w:hint="eastAsia"/>
                <w:sz w:val="20"/>
                <w:szCs w:val="20"/>
              </w:rPr>
              <w:t>验证型</w:t>
            </w:r>
          </w:p>
        </w:tc>
        <w:tc>
          <w:tcPr>
            <w:tcW w:w="655" w:type="dxa"/>
            <w:vAlign w:val="center"/>
          </w:tcPr>
          <w:p>
            <w:pPr>
              <w:autoSpaceDE w:val="0"/>
              <w:autoSpaceDN w:val="0"/>
              <w:adjustRightInd w:val="0"/>
              <w:snapToGrid w:val="0"/>
              <w:spacing w:beforeLines="10" w:afterLines="10"/>
              <w:jc w:val="center"/>
              <w:rPr>
                <w:sz w:val="18"/>
                <w:szCs w:val="18"/>
                <w:lang w:val="zh-CN"/>
              </w:rPr>
            </w:pPr>
            <w:r>
              <w:rPr>
                <w:rFonts w:hint="eastAsia" w:ascii="宋体" w:hAnsi="宋体"/>
                <w:sz w:val="20"/>
                <w:szCs w:val="20"/>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Align w:val="center"/>
          </w:tcPr>
          <w:p>
            <w:pPr>
              <w:autoSpaceDE w:val="0"/>
              <w:autoSpaceDN w:val="0"/>
              <w:adjustRightInd w:val="0"/>
              <w:snapToGrid w:val="0"/>
              <w:spacing w:beforeLines="10" w:afterLines="10"/>
              <w:jc w:val="center"/>
              <w:rPr>
                <w:sz w:val="18"/>
                <w:szCs w:val="18"/>
                <w:lang w:val="zh-CN"/>
              </w:rPr>
            </w:pPr>
            <w:r>
              <w:rPr>
                <w:rFonts w:hint="eastAsia"/>
                <w:sz w:val="18"/>
                <w:szCs w:val="18"/>
                <w:lang w:val="zh-CN"/>
              </w:rPr>
              <w:t>4</w:t>
            </w:r>
          </w:p>
        </w:tc>
        <w:tc>
          <w:tcPr>
            <w:tcW w:w="2698" w:type="dxa"/>
            <w:vAlign w:val="center"/>
          </w:tcPr>
          <w:p>
            <w:pPr>
              <w:autoSpaceDE w:val="0"/>
              <w:autoSpaceDN w:val="0"/>
              <w:adjustRightInd w:val="0"/>
              <w:snapToGrid w:val="0"/>
              <w:spacing w:beforeLines="10" w:afterLines="10"/>
              <w:rPr>
                <w:sz w:val="18"/>
                <w:szCs w:val="18"/>
                <w:lang w:val="zh-CN"/>
              </w:rPr>
            </w:pPr>
            <w:r>
              <w:rPr>
                <w:rFonts w:hint="eastAsia" w:ascii="宋体" w:hAnsi="宋体"/>
                <w:sz w:val="20"/>
                <w:szCs w:val="20"/>
              </w:rPr>
              <w:t>扭摆法测定物体转动惯量</w:t>
            </w:r>
          </w:p>
        </w:tc>
        <w:tc>
          <w:tcPr>
            <w:tcW w:w="4305" w:type="dxa"/>
            <w:vAlign w:val="center"/>
          </w:tcPr>
          <w:p>
            <w:pPr>
              <w:autoSpaceDE w:val="0"/>
              <w:autoSpaceDN w:val="0"/>
              <w:adjustRightInd w:val="0"/>
              <w:snapToGrid w:val="0"/>
              <w:spacing w:beforeLines="10" w:afterLines="10"/>
              <w:rPr>
                <w:sz w:val="18"/>
                <w:szCs w:val="18"/>
                <w:lang w:val="zh-CN"/>
              </w:rPr>
            </w:pPr>
            <w:r>
              <w:rPr>
                <w:rFonts w:hint="eastAsia" w:ascii="宋体" w:hAnsi="宋体"/>
                <w:sz w:val="20"/>
                <w:szCs w:val="20"/>
              </w:rPr>
              <w:t>测量圆盘、圆筒、圆柱和细杆绕中心轴的转动惯量，验证转动惯量平行轴定理。</w:t>
            </w:r>
          </w:p>
        </w:tc>
        <w:tc>
          <w:tcPr>
            <w:tcW w:w="720" w:type="dxa"/>
            <w:vAlign w:val="center"/>
          </w:tcPr>
          <w:p>
            <w:pPr>
              <w:autoSpaceDE w:val="0"/>
              <w:autoSpaceDN w:val="0"/>
              <w:adjustRightInd w:val="0"/>
              <w:snapToGrid w:val="0"/>
              <w:spacing w:beforeLines="10" w:afterLines="10"/>
              <w:jc w:val="center"/>
              <w:rPr>
                <w:sz w:val="20"/>
                <w:szCs w:val="20"/>
                <w:lang w:val="zh-CN"/>
              </w:rPr>
            </w:pPr>
            <w:r>
              <w:rPr>
                <w:rFonts w:hint="eastAsia" w:ascii="宋体" w:hAnsi="宋体"/>
                <w:sz w:val="20"/>
                <w:szCs w:val="20"/>
              </w:rPr>
              <w:t>3学时</w:t>
            </w:r>
          </w:p>
        </w:tc>
        <w:tc>
          <w:tcPr>
            <w:tcW w:w="1043" w:type="dxa"/>
            <w:vAlign w:val="center"/>
          </w:tcPr>
          <w:p>
            <w:pPr>
              <w:autoSpaceDE w:val="0"/>
              <w:autoSpaceDN w:val="0"/>
              <w:adjustRightInd w:val="0"/>
              <w:snapToGrid w:val="0"/>
              <w:spacing w:beforeLines="10" w:afterLines="10"/>
              <w:jc w:val="center"/>
              <w:rPr>
                <w:sz w:val="18"/>
                <w:szCs w:val="18"/>
                <w:lang w:val="zh-CN"/>
              </w:rPr>
            </w:pPr>
            <w:r>
              <w:rPr>
                <w:rFonts w:hint="eastAsia"/>
                <w:sz w:val="20"/>
                <w:szCs w:val="20"/>
              </w:rPr>
              <w:t>验证型</w:t>
            </w:r>
          </w:p>
        </w:tc>
        <w:tc>
          <w:tcPr>
            <w:tcW w:w="655" w:type="dxa"/>
            <w:vAlign w:val="center"/>
          </w:tcPr>
          <w:p>
            <w:pPr>
              <w:autoSpaceDE w:val="0"/>
              <w:autoSpaceDN w:val="0"/>
              <w:adjustRightInd w:val="0"/>
              <w:snapToGrid w:val="0"/>
              <w:spacing w:beforeLines="10" w:afterLines="10"/>
              <w:jc w:val="center"/>
              <w:rPr>
                <w:sz w:val="18"/>
                <w:szCs w:val="18"/>
                <w:lang w:val="zh-CN"/>
              </w:rPr>
            </w:pPr>
            <w:r>
              <w:rPr>
                <w:rFonts w:hint="eastAsia" w:ascii="宋体" w:hAnsi="宋体"/>
                <w:sz w:val="20"/>
                <w:szCs w:val="20"/>
              </w:rPr>
              <w:t>必做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2" w:type="dxa"/>
            <w:vAlign w:val="center"/>
          </w:tcPr>
          <w:p>
            <w:pPr>
              <w:autoSpaceDE w:val="0"/>
              <w:autoSpaceDN w:val="0"/>
              <w:adjustRightInd w:val="0"/>
              <w:snapToGrid w:val="0"/>
              <w:spacing w:beforeLines="10" w:afterLines="10"/>
              <w:jc w:val="center"/>
              <w:rPr>
                <w:rFonts w:hint="eastAsia" w:eastAsia="宋体"/>
                <w:sz w:val="18"/>
                <w:szCs w:val="18"/>
                <w:lang w:val="zh-CN" w:eastAsia="zh-CN"/>
              </w:rPr>
            </w:pPr>
            <w:r>
              <w:rPr>
                <w:rFonts w:hint="eastAsia"/>
                <w:sz w:val="18"/>
                <w:szCs w:val="18"/>
                <w:lang w:val="en-US" w:eastAsia="zh-CN"/>
              </w:rPr>
              <w:t>5</w:t>
            </w:r>
          </w:p>
        </w:tc>
        <w:tc>
          <w:tcPr>
            <w:tcW w:w="2698" w:type="dxa"/>
            <w:vAlign w:val="center"/>
          </w:tcPr>
          <w:p>
            <w:pPr>
              <w:autoSpaceDE w:val="0"/>
              <w:autoSpaceDN w:val="0"/>
              <w:adjustRightInd w:val="0"/>
              <w:snapToGrid w:val="0"/>
              <w:spacing w:beforeLines="10" w:afterLines="10"/>
              <w:rPr>
                <w:rFonts w:hint="eastAsia" w:ascii="宋体" w:hAnsi="宋体"/>
                <w:sz w:val="20"/>
                <w:szCs w:val="20"/>
              </w:rPr>
            </w:pPr>
            <w:r>
              <w:rPr>
                <w:rFonts w:hint="eastAsia" w:ascii="宋体" w:hAnsi="宋体"/>
                <w:sz w:val="20"/>
                <w:szCs w:val="20"/>
              </w:rPr>
              <w:t>仿真实验</w:t>
            </w:r>
          </w:p>
        </w:tc>
        <w:tc>
          <w:tcPr>
            <w:tcW w:w="4305" w:type="dxa"/>
            <w:vAlign w:val="center"/>
          </w:tcPr>
          <w:p>
            <w:pPr>
              <w:autoSpaceDE w:val="0"/>
              <w:autoSpaceDN w:val="0"/>
              <w:adjustRightInd w:val="0"/>
              <w:snapToGrid w:val="0"/>
              <w:spacing w:beforeLines="10" w:afterLines="10"/>
              <w:rPr>
                <w:rFonts w:hint="eastAsia" w:ascii="宋体" w:hAnsi="宋体"/>
                <w:sz w:val="20"/>
                <w:szCs w:val="20"/>
              </w:rPr>
            </w:pPr>
            <w:r>
              <w:rPr>
                <w:rFonts w:hint="eastAsia" w:ascii="宋体" w:hAnsi="宋体"/>
                <w:sz w:val="20"/>
                <w:szCs w:val="20"/>
                <w:lang w:eastAsia="zh-CN"/>
              </w:rPr>
              <w:t>学习进行仿真</w:t>
            </w:r>
            <w:r>
              <w:rPr>
                <w:rFonts w:hint="eastAsia" w:ascii="宋体" w:hAnsi="宋体"/>
                <w:sz w:val="20"/>
                <w:szCs w:val="20"/>
              </w:rPr>
              <w:t>实验</w:t>
            </w:r>
            <w:r>
              <w:rPr>
                <w:rFonts w:hint="eastAsia" w:ascii="宋体" w:hAnsi="宋体"/>
                <w:sz w:val="20"/>
                <w:szCs w:val="20"/>
                <w:lang w:eastAsia="zh-CN"/>
              </w:rPr>
              <w:t>预习操作和考试</w:t>
            </w:r>
          </w:p>
        </w:tc>
        <w:tc>
          <w:tcPr>
            <w:tcW w:w="720" w:type="dxa"/>
            <w:vAlign w:val="center"/>
          </w:tcPr>
          <w:p>
            <w:pPr>
              <w:autoSpaceDE w:val="0"/>
              <w:autoSpaceDN w:val="0"/>
              <w:adjustRightInd w:val="0"/>
              <w:snapToGrid w:val="0"/>
              <w:spacing w:beforeLines="10" w:afterLines="10"/>
              <w:jc w:val="center"/>
              <w:rPr>
                <w:rFonts w:hint="eastAsia" w:ascii="宋体" w:hAnsi="宋体"/>
                <w:sz w:val="20"/>
                <w:szCs w:val="20"/>
              </w:rPr>
            </w:pPr>
            <w:r>
              <w:rPr>
                <w:rFonts w:hint="eastAsia" w:ascii="宋体" w:hAnsi="宋体"/>
                <w:sz w:val="20"/>
                <w:szCs w:val="20"/>
                <w:lang w:val="en-US" w:eastAsia="zh-CN"/>
              </w:rPr>
              <w:t>4</w:t>
            </w:r>
            <w:r>
              <w:rPr>
                <w:rFonts w:hint="eastAsia" w:ascii="宋体" w:hAnsi="宋体"/>
                <w:sz w:val="20"/>
                <w:szCs w:val="20"/>
              </w:rPr>
              <w:t>学时</w:t>
            </w:r>
          </w:p>
        </w:tc>
        <w:tc>
          <w:tcPr>
            <w:tcW w:w="1043" w:type="dxa"/>
            <w:vAlign w:val="center"/>
          </w:tcPr>
          <w:p>
            <w:pPr>
              <w:autoSpaceDE w:val="0"/>
              <w:autoSpaceDN w:val="0"/>
              <w:adjustRightInd w:val="0"/>
              <w:snapToGrid w:val="0"/>
              <w:spacing w:beforeLines="10" w:afterLines="10"/>
              <w:jc w:val="center"/>
              <w:rPr>
                <w:rFonts w:hint="eastAsia"/>
                <w:sz w:val="20"/>
                <w:szCs w:val="20"/>
              </w:rPr>
            </w:pPr>
            <w:r>
              <w:rPr>
                <w:rFonts w:hint="eastAsia"/>
                <w:sz w:val="20"/>
                <w:szCs w:val="20"/>
              </w:rPr>
              <w:t>综合型</w:t>
            </w:r>
          </w:p>
        </w:tc>
        <w:tc>
          <w:tcPr>
            <w:tcW w:w="655" w:type="dxa"/>
            <w:vAlign w:val="center"/>
          </w:tcPr>
          <w:p>
            <w:pPr>
              <w:autoSpaceDE w:val="0"/>
              <w:autoSpaceDN w:val="0"/>
              <w:adjustRightInd w:val="0"/>
              <w:snapToGrid w:val="0"/>
              <w:spacing w:beforeLines="10" w:afterLines="10"/>
              <w:jc w:val="center"/>
              <w:rPr>
                <w:rFonts w:hint="eastAsia" w:ascii="宋体" w:hAnsi="宋体"/>
                <w:sz w:val="20"/>
                <w:szCs w:val="20"/>
              </w:rPr>
            </w:pPr>
            <w:r>
              <w:rPr>
                <w:rFonts w:hint="eastAsia" w:ascii="宋体" w:hAnsi="宋体"/>
                <w:sz w:val="20"/>
                <w:szCs w:val="20"/>
                <w:lang w:eastAsia="zh-CN"/>
              </w:rPr>
              <w:t>必</w:t>
            </w:r>
            <w:r>
              <w:rPr>
                <w:rFonts w:hint="eastAsia" w:ascii="宋体" w:hAnsi="宋体"/>
                <w:sz w:val="20"/>
                <w:szCs w:val="20"/>
              </w:rPr>
              <w:t>做</w:t>
            </w:r>
          </w:p>
        </w:tc>
      </w:tr>
    </w:tbl>
    <w:p>
      <w:pPr>
        <w:widowControl/>
        <w:spacing w:beforeLines="50" w:afterLines="50" w:line="288" w:lineRule="auto"/>
        <w:jc w:val="left"/>
        <w:rPr>
          <w:rFonts w:hint="eastAsia" w:ascii="黑体" w:hAnsi="宋体" w:eastAsia="黑体"/>
          <w:sz w:val="24"/>
        </w:rPr>
      </w:pPr>
      <w:bookmarkStart w:id="1" w:name="_GoBack"/>
      <w:bookmarkEnd w:id="1"/>
    </w:p>
    <w:p>
      <w:pPr>
        <w:widowControl/>
        <w:spacing w:beforeLines="50" w:afterLines="50" w:line="288" w:lineRule="auto"/>
        <w:jc w:val="left"/>
        <w:rPr>
          <w:rFonts w:ascii="黑体" w:hAnsi="宋体" w:eastAsia="黑体"/>
          <w:sz w:val="24"/>
        </w:rPr>
      </w:pPr>
      <w:r>
        <w:rPr>
          <w:rFonts w:hint="eastAsia" w:ascii="黑体" w:hAnsi="宋体" w:eastAsia="黑体"/>
          <w:sz w:val="24"/>
        </w:rPr>
        <w:t>八、评价方式与成绩</w:t>
      </w:r>
    </w:p>
    <w:p>
      <w:pPr>
        <w:snapToGrid w:val="0"/>
        <w:spacing w:line="288" w:lineRule="auto"/>
        <w:ind w:right="-109" w:firstLine="400" w:firstLineChars="200"/>
        <w:rPr>
          <w:rFonts w:hint="eastAsia"/>
          <w:sz w:val="20"/>
        </w:rPr>
      </w:pPr>
    </w:p>
    <w:tbl>
      <w:tblPr>
        <w:tblStyle w:val="7"/>
        <w:tblpPr w:leftFromText="180" w:rightFromText="180" w:vertAnchor="text" w:horzAnchor="page" w:tblpX="2098" w:tblpY="-1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w:t>
            </w:r>
            <w:r>
              <w:rPr>
                <w:rFonts w:hint="eastAsia" w:ascii="宋体" w:hAnsi="宋体"/>
                <w:bCs/>
                <w:color w:val="000000"/>
                <w:szCs w:val="21"/>
              </w:rPr>
              <w:t>（</w:t>
            </w:r>
            <w:r>
              <w:rPr>
                <w:rFonts w:ascii="宋体" w:hAnsi="宋体"/>
                <w:bCs/>
                <w:color w:val="000000"/>
                <w:szCs w:val="21"/>
              </w:rPr>
              <w:t>X</w:t>
            </w:r>
            <w:r>
              <w:rPr>
                <w:rFonts w:hint="eastAsia" w:ascii="宋体" w:hAnsi="宋体"/>
                <w:bCs/>
                <w:color w:val="000000"/>
                <w:szCs w:val="21"/>
              </w:rPr>
              <w:t>）</w:t>
            </w:r>
          </w:p>
        </w:tc>
        <w:tc>
          <w:tcPr>
            <w:tcW w:w="637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X1、X2、X3、X4、X5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637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5次课堂实验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vAlign w:val="center"/>
          </w:tcPr>
          <w:p>
            <w:pPr>
              <w:snapToGrid w:val="0"/>
              <w:spacing w:beforeLines="50" w:afterLines="50"/>
              <w:jc w:val="center"/>
              <w:rPr>
                <w:rFonts w:ascii="宋体" w:hAnsi="宋体"/>
                <w:bCs/>
                <w:color w:val="000000"/>
                <w:szCs w:val="20"/>
              </w:rPr>
            </w:pPr>
            <w:r>
              <w:rPr>
                <w:rFonts w:ascii="宋体" w:hAnsi="宋体"/>
                <w:bCs/>
                <w:color w:val="000000"/>
                <w:szCs w:val="20"/>
              </w:rPr>
              <w:t>X项所占</w:t>
            </w:r>
            <w:r>
              <w:rPr>
                <w:rFonts w:hint="eastAsia" w:ascii="宋体" w:hAnsi="宋体"/>
                <w:bCs/>
                <w:color w:val="000000"/>
                <w:szCs w:val="20"/>
              </w:rPr>
              <w:t>比例%</w:t>
            </w:r>
          </w:p>
        </w:tc>
        <w:tc>
          <w:tcPr>
            <w:tcW w:w="637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5×20%</w:t>
            </w:r>
          </w:p>
        </w:tc>
      </w:tr>
    </w:tbl>
    <w:p>
      <w:pPr>
        <w:snapToGrid w:val="0"/>
        <w:spacing w:line="288" w:lineRule="auto"/>
        <w:ind w:right="-109" w:firstLine="400" w:firstLineChars="200"/>
        <w:rPr>
          <w:sz w:val="20"/>
        </w:rPr>
      </w:pPr>
    </w:p>
    <w:p>
      <w:pPr>
        <w:snapToGrid w:val="0"/>
        <w:spacing w:line="288" w:lineRule="auto"/>
        <w:ind w:firstLine="630" w:firstLineChars="300"/>
      </w:pPr>
      <w:r>
        <w:rPr>
          <w:rFonts w:hint="eastAsia"/>
        </w:rPr>
        <w:t>撰写：岳春晓           系主任审核：                  日期：</w:t>
      </w:r>
      <w:r>
        <w:rPr>
          <w:rFonts w:hint="eastAsia"/>
          <w:lang w:val="en-US" w:eastAsia="zh-CN"/>
        </w:rPr>
        <w:t>2016.3.2</w:t>
      </w:r>
    </w:p>
    <w:p>
      <w:pPr>
        <w:snapToGrid w:val="0"/>
        <w:spacing w:line="288" w:lineRule="auto"/>
        <w:ind w:firstLine="3360" w:firstLineChars="1400"/>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Wingdings 2">
    <w:panose1 w:val="05020102010507070707"/>
    <w:charset w:val="02"/>
    <w:family w:val="modern"/>
    <w:pitch w:val="default"/>
    <w:sig w:usb0="00000000" w:usb1="00000000" w:usb2="00000000" w:usb3="00000000" w:csb0="80000000" w:csb1="00000000"/>
  </w:font>
  <w:font w:name="Cambria Math">
    <w:panose1 w:val="02040503050406030204"/>
    <w:charset w:val="00"/>
    <w:family w:val="auto"/>
    <w:pitch w:val="variable"/>
    <w:sig w:usb0="A00002EF" w:usb1="420020EB" w:usb2="00000000" w:usb3="00000000" w:csb0="2000009F" w:csb1="00000000"/>
  </w:font>
  <w:font w:name="@宋体">
    <w:panose1 w:val="02010600030101010101"/>
    <w:charset w:val="86"/>
    <w:family w:val="auto"/>
    <w:pitch w:val="variable"/>
    <w:sig w:usb0="00000003" w:usb1="080E0000" w:usb2="00000000" w:usb3="00000000" w:csb0="00040001"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Wingdings 2">
    <w:panose1 w:val="05020102010507070707"/>
    <w:charset w:val="02"/>
    <w:family w:val="swiss"/>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Wingdings 2">
    <w:panose1 w:val="05020102010507070707"/>
    <w:charset w:val="02"/>
    <w:family w:val="decorative"/>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rFonts w:hint="eastAsia"/>
      </w:rPr>
      <w:t>第</w:t>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Fonts w:hint="eastAsia"/>
      </w:rPr>
      <w:t>页共</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934103">
    <w:nsid w:val="06412AD7"/>
    <w:multiLevelType w:val="multilevel"/>
    <w:tmpl w:val="06412AD7"/>
    <w:lvl w:ilvl="0" w:tentative="1">
      <w:start w:val="1"/>
      <w:numFmt w:val="decimal"/>
      <w:lvlText w:val="%1."/>
      <w:lvlJc w:val="left"/>
      <w:pPr>
        <w:tabs>
          <w:tab w:val="left" w:pos="420"/>
        </w:tabs>
        <w:ind w:left="420" w:hanging="420"/>
      </w:pPr>
    </w:lvl>
    <w:lvl w:ilvl="1" w:tentative="1">
      <w:start w:val="1"/>
      <w:numFmt w:val="decimal"/>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4934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F1EF5"/>
    <w:rsid w:val="00024B11"/>
    <w:rsid w:val="00024D37"/>
    <w:rsid w:val="00037714"/>
    <w:rsid w:val="00046779"/>
    <w:rsid w:val="0008449D"/>
    <w:rsid w:val="000D4DEE"/>
    <w:rsid w:val="0011616D"/>
    <w:rsid w:val="00121A4B"/>
    <w:rsid w:val="00141469"/>
    <w:rsid w:val="00147FF2"/>
    <w:rsid w:val="001664E6"/>
    <w:rsid w:val="001769F3"/>
    <w:rsid w:val="00194BA2"/>
    <w:rsid w:val="001C2CEF"/>
    <w:rsid w:val="001C7253"/>
    <w:rsid w:val="001D2B03"/>
    <w:rsid w:val="001E2F16"/>
    <w:rsid w:val="001E35A0"/>
    <w:rsid w:val="001E78E4"/>
    <w:rsid w:val="001F220D"/>
    <w:rsid w:val="00201D4D"/>
    <w:rsid w:val="002022DC"/>
    <w:rsid w:val="002068C8"/>
    <w:rsid w:val="00242142"/>
    <w:rsid w:val="0024785B"/>
    <w:rsid w:val="00263C74"/>
    <w:rsid w:val="00276325"/>
    <w:rsid w:val="002A34FC"/>
    <w:rsid w:val="002A59E0"/>
    <w:rsid w:val="002C3A51"/>
    <w:rsid w:val="002E454A"/>
    <w:rsid w:val="00303DD7"/>
    <w:rsid w:val="00305C12"/>
    <w:rsid w:val="0032076A"/>
    <w:rsid w:val="00327540"/>
    <w:rsid w:val="00381CB5"/>
    <w:rsid w:val="003A7E17"/>
    <w:rsid w:val="003C0B92"/>
    <w:rsid w:val="003E39F5"/>
    <w:rsid w:val="003E67F6"/>
    <w:rsid w:val="003F3439"/>
    <w:rsid w:val="00403901"/>
    <w:rsid w:val="004040D8"/>
    <w:rsid w:val="00411D89"/>
    <w:rsid w:val="004120D2"/>
    <w:rsid w:val="00412F70"/>
    <w:rsid w:val="00416F13"/>
    <w:rsid w:val="0042429F"/>
    <w:rsid w:val="004402B5"/>
    <w:rsid w:val="00452BD0"/>
    <w:rsid w:val="00453B38"/>
    <w:rsid w:val="004612C4"/>
    <w:rsid w:val="0047083A"/>
    <w:rsid w:val="00495DEF"/>
    <w:rsid w:val="004C0393"/>
    <w:rsid w:val="004C6EDC"/>
    <w:rsid w:val="004D27F9"/>
    <w:rsid w:val="004D3945"/>
    <w:rsid w:val="00521D67"/>
    <w:rsid w:val="00544370"/>
    <w:rsid w:val="005747F4"/>
    <w:rsid w:val="005943F9"/>
    <w:rsid w:val="005C721A"/>
    <w:rsid w:val="005F45AF"/>
    <w:rsid w:val="005F733B"/>
    <w:rsid w:val="00604BDA"/>
    <w:rsid w:val="00610EA1"/>
    <w:rsid w:val="006115D6"/>
    <w:rsid w:val="006346FA"/>
    <w:rsid w:val="006519E7"/>
    <w:rsid w:val="0065654F"/>
    <w:rsid w:val="00660576"/>
    <w:rsid w:val="00686ADD"/>
    <w:rsid w:val="006B6F37"/>
    <w:rsid w:val="006C5A78"/>
    <w:rsid w:val="006D4746"/>
    <w:rsid w:val="006F1EF5"/>
    <w:rsid w:val="006F333B"/>
    <w:rsid w:val="006F609B"/>
    <w:rsid w:val="00721CBA"/>
    <w:rsid w:val="007230C3"/>
    <w:rsid w:val="00735BE4"/>
    <w:rsid w:val="007448E0"/>
    <w:rsid w:val="00744D7E"/>
    <w:rsid w:val="00761EF6"/>
    <w:rsid w:val="007633A9"/>
    <w:rsid w:val="00794161"/>
    <w:rsid w:val="007A7672"/>
    <w:rsid w:val="007B0A0E"/>
    <w:rsid w:val="007C69D5"/>
    <w:rsid w:val="007D600D"/>
    <w:rsid w:val="007E37FC"/>
    <w:rsid w:val="007F626F"/>
    <w:rsid w:val="00815C0C"/>
    <w:rsid w:val="00835EDD"/>
    <w:rsid w:val="00855282"/>
    <w:rsid w:val="008B3864"/>
    <w:rsid w:val="008C0642"/>
    <w:rsid w:val="008C5EFC"/>
    <w:rsid w:val="00904C34"/>
    <w:rsid w:val="00914534"/>
    <w:rsid w:val="009313C2"/>
    <w:rsid w:val="009316CD"/>
    <w:rsid w:val="0096286E"/>
    <w:rsid w:val="009B3AFE"/>
    <w:rsid w:val="009D37A1"/>
    <w:rsid w:val="009E1AAE"/>
    <w:rsid w:val="00A10115"/>
    <w:rsid w:val="00A15537"/>
    <w:rsid w:val="00A708FC"/>
    <w:rsid w:val="00A71D74"/>
    <w:rsid w:val="00A850FC"/>
    <w:rsid w:val="00A96BE3"/>
    <w:rsid w:val="00AC5E82"/>
    <w:rsid w:val="00AC6F09"/>
    <w:rsid w:val="00AD434A"/>
    <w:rsid w:val="00AF3833"/>
    <w:rsid w:val="00AF3CCE"/>
    <w:rsid w:val="00B36705"/>
    <w:rsid w:val="00B42494"/>
    <w:rsid w:val="00B979D5"/>
    <w:rsid w:val="00BC1282"/>
    <w:rsid w:val="00BC7E90"/>
    <w:rsid w:val="00BD6E94"/>
    <w:rsid w:val="00BE4011"/>
    <w:rsid w:val="00BF42A0"/>
    <w:rsid w:val="00BF5F16"/>
    <w:rsid w:val="00C1126B"/>
    <w:rsid w:val="00C207A1"/>
    <w:rsid w:val="00C53176"/>
    <w:rsid w:val="00C62505"/>
    <w:rsid w:val="00CB5717"/>
    <w:rsid w:val="00CB6AA8"/>
    <w:rsid w:val="00CD1E6C"/>
    <w:rsid w:val="00CD311C"/>
    <w:rsid w:val="00CE6303"/>
    <w:rsid w:val="00CE78C5"/>
    <w:rsid w:val="00D7632F"/>
    <w:rsid w:val="00D83C7E"/>
    <w:rsid w:val="00D942DA"/>
    <w:rsid w:val="00DC0587"/>
    <w:rsid w:val="00DF5571"/>
    <w:rsid w:val="00DF6BBE"/>
    <w:rsid w:val="00E130E3"/>
    <w:rsid w:val="00E278AB"/>
    <w:rsid w:val="00E324AA"/>
    <w:rsid w:val="00E343D3"/>
    <w:rsid w:val="00E45703"/>
    <w:rsid w:val="00E52441"/>
    <w:rsid w:val="00E56A43"/>
    <w:rsid w:val="00E7086E"/>
    <w:rsid w:val="00E910D4"/>
    <w:rsid w:val="00E97437"/>
    <w:rsid w:val="00EB03F9"/>
    <w:rsid w:val="00EC3C90"/>
    <w:rsid w:val="00ED66CA"/>
    <w:rsid w:val="00EE2FA0"/>
    <w:rsid w:val="00EF7E0C"/>
    <w:rsid w:val="00F21CB6"/>
    <w:rsid w:val="00F36CB6"/>
    <w:rsid w:val="00F50FE4"/>
    <w:rsid w:val="00F56C05"/>
    <w:rsid w:val="00F67033"/>
    <w:rsid w:val="00F94440"/>
    <w:rsid w:val="00FB1788"/>
    <w:rsid w:val="00FB6749"/>
    <w:rsid w:val="00FC556F"/>
    <w:rsid w:val="00FF0E74"/>
    <w:rsid w:val="30C8530C"/>
    <w:rsid w:val="463004CE"/>
    <w:rsid w:val="78085FF1"/>
    <w:rsid w:val="7C1574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thtfpc</Company>
  <Pages>2</Pages>
  <Words>244</Words>
  <Characters>1391</Characters>
  <Lines>11</Lines>
  <Paragraphs>3</Paragraphs>
  <TotalTime>0</TotalTime>
  <ScaleCrop>false</ScaleCrop>
  <LinksUpToDate>false</LinksUpToDate>
  <CharactersWithSpaces>1632</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2013-01-14T01:50:00Z</dcterms:created>
  <dc:creator>thtfpc user</dc:creator>
  <cp:lastModifiedBy>Administrator</cp:lastModifiedBy>
  <cp:lastPrinted>2007-01-04T16:38:00Z</cp:lastPrinted>
  <dcterms:modified xsi:type="dcterms:W3CDTF">2016-03-02T05:15:14Z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